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D8" w:rsidRDefault="00565141" w:rsidP="00306FD8">
      <w:pPr>
        <w:autoSpaceDE w:val="0"/>
        <w:autoSpaceDN w:val="0"/>
        <w:adjustRightInd w:val="0"/>
        <w:spacing w:after="0" w:line="240" w:lineRule="auto"/>
        <w:jc w:val="both"/>
        <w:rPr>
          <w:rFonts w:ascii="HelveticaNeue-CondensedBold" w:hAnsi="HelveticaNeue-CondensedBold" w:cs="HelveticaNeue-CondensedBold"/>
          <w:b/>
          <w:bCs/>
          <w:sz w:val="32"/>
          <w:szCs w:val="32"/>
        </w:rPr>
      </w:pPr>
      <w:r>
        <w:rPr>
          <w:rFonts w:ascii="HelveticaNeue-CondensedBold" w:hAnsi="HelveticaNeue-CondensedBold" w:cs="HelveticaNeue-CondensedBold"/>
          <w:b/>
          <w:bCs/>
          <w:sz w:val="32"/>
          <w:szCs w:val="32"/>
        </w:rPr>
        <w:t xml:space="preserve">           </w:t>
      </w:r>
    </w:p>
    <w:p w:rsidR="00565141" w:rsidRPr="00C922E6" w:rsidRDefault="00C922E6" w:rsidP="00565141">
      <w:pPr>
        <w:spacing w:before="144" w:after="144" w:line="336" w:lineRule="atLeast"/>
        <w:rPr>
          <w:rFonts w:ascii="Arial" w:eastAsia="Times New Roman" w:hAnsi="Arial" w:cs="Arial"/>
          <w:color w:val="333333"/>
          <w:sz w:val="19"/>
          <w:szCs w:val="19"/>
          <w:lang w:eastAsia="it-IT"/>
        </w:rPr>
      </w:pPr>
      <w:r>
        <w:rPr>
          <w:rFonts w:ascii="Times New Roman" w:eastAsia="Times New Roman" w:hAnsi="Times New Roman" w:cs="Times New Roman"/>
          <w:noProof/>
          <w:color w:val="0000FF"/>
          <w:sz w:val="24"/>
          <w:szCs w:val="24"/>
          <w:lang w:eastAsia="it-IT"/>
        </w:rPr>
        <w:drawing>
          <wp:inline distT="0" distB="0" distL="0" distR="0">
            <wp:extent cx="2609850" cy="2133600"/>
            <wp:effectExtent l="19050" t="0" r="0" b="0"/>
            <wp:docPr id="1" name="Immagine 1" descr="Orte - Ninf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e - Ninfeo">
                      <a:hlinkClick r:id="rId4"/>
                    </pic:cNvPr>
                    <pic:cNvPicPr>
                      <a:picLocks noChangeAspect="1" noChangeArrowheads="1"/>
                    </pic:cNvPicPr>
                  </pic:nvPicPr>
                  <pic:blipFill>
                    <a:blip r:embed="rId5" cstate="print"/>
                    <a:srcRect/>
                    <a:stretch>
                      <a:fillRect/>
                    </a:stretch>
                  </pic:blipFill>
                  <pic:spPr bwMode="auto">
                    <a:xfrm>
                      <a:off x="0" y="0"/>
                      <a:ext cx="2609850" cy="2133600"/>
                    </a:xfrm>
                    <a:prstGeom prst="rect">
                      <a:avLst/>
                    </a:prstGeom>
                    <a:noFill/>
                    <a:ln w="9525">
                      <a:noFill/>
                      <a:miter lim="800000"/>
                      <a:headEnd/>
                      <a:tailEnd/>
                    </a:ln>
                  </pic:spPr>
                </pic:pic>
              </a:graphicData>
            </a:graphic>
          </wp:inline>
        </w:drawing>
      </w:r>
      <w:r w:rsidR="00565141">
        <w:rPr>
          <w:rFonts w:ascii="Times New Roman" w:eastAsia="Times New Roman" w:hAnsi="Times New Roman" w:cs="Times New Roman"/>
          <w:sz w:val="24"/>
          <w:szCs w:val="24"/>
          <w:lang w:eastAsia="it-IT"/>
        </w:rPr>
        <w:t xml:space="preserve">     </w:t>
      </w:r>
      <w:r w:rsidR="00565141">
        <w:rPr>
          <w:rFonts w:ascii="Arial" w:eastAsia="Times New Roman" w:hAnsi="Arial" w:cs="Arial"/>
          <w:b/>
          <w:bCs/>
          <w:noProof/>
          <w:color w:val="6B8CB7"/>
          <w:sz w:val="17"/>
          <w:szCs w:val="17"/>
          <w:lang w:eastAsia="it-IT"/>
        </w:rPr>
        <w:drawing>
          <wp:inline distT="0" distB="0" distL="0" distR="0">
            <wp:extent cx="2457450" cy="2133600"/>
            <wp:effectExtent l="19050" t="0" r="0" b="0"/>
            <wp:docPr id="4" name="Immagine 3" descr="panoramic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oramica">
                      <a:hlinkClick r:id="rId6"/>
                    </pic:cNvPr>
                    <pic:cNvPicPr>
                      <a:picLocks noChangeAspect="1" noChangeArrowheads="1"/>
                    </pic:cNvPicPr>
                  </pic:nvPicPr>
                  <pic:blipFill>
                    <a:blip r:embed="rId7" cstate="print"/>
                    <a:srcRect/>
                    <a:stretch>
                      <a:fillRect/>
                    </a:stretch>
                  </pic:blipFill>
                  <pic:spPr bwMode="auto">
                    <a:xfrm>
                      <a:off x="0" y="0"/>
                      <a:ext cx="2457450" cy="2133600"/>
                    </a:xfrm>
                    <a:prstGeom prst="rect">
                      <a:avLst/>
                    </a:prstGeom>
                    <a:noFill/>
                    <a:ln w="9525">
                      <a:noFill/>
                      <a:miter lim="800000"/>
                      <a:headEnd/>
                      <a:tailEnd/>
                    </a:ln>
                  </pic:spPr>
                </pic:pic>
              </a:graphicData>
            </a:graphic>
          </wp:inline>
        </w:drawing>
      </w:r>
    </w:p>
    <w:p w:rsidR="00565141" w:rsidRPr="00565141" w:rsidRDefault="00565141" w:rsidP="00565141">
      <w:pPr>
        <w:spacing w:before="144" w:after="144" w:line="336" w:lineRule="atLeast"/>
        <w:rPr>
          <w:rFonts w:ascii="Arial" w:eastAsia="Times New Roman" w:hAnsi="Arial" w:cs="Arial"/>
          <w:color w:val="333333"/>
          <w:sz w:val="19"/>
          <w:szCs w:val="19"/>
          <w:lang w:eastAsia="it-IT"/>
        </w:rPr>
      </w:pPr>
      <w:r>
        <w:rPr>
          <w:rFonts w:ascii="Arial" w:eastAsia="Times New Roman" w:hAnsi="Arial" w:cs="Arial"/>
          <w:color w:val="333333"/>
          <w:sz w:val="19"/>
          <w:szCs w:val="19"/>
          <w:lang w:eastAsia="it-IT"/>
        </w:rPr>
        <w:t xml:space="preserve">  </w:t>
      </w:r>
      <w:r w:rsidRPr="00565141">
        <w:rPr>
          <w:rFonts w:ascii="Arial" w:eastAsia="Times New Roman" w:hAnsi="Arial" w:cs="Arial"/>
          <w:color w:val="333333"/>
          <w:sz w:val="19"/>
          <w:szCs w:val="19"/>
          <w:lang w:eastAsia="it-IT"/>
        </w:rPr>
        <w:t xml:space="preserve">(Foto </w:t>
      </w:r>
      <w:r w:rsidRPr="00C922E6">
        <w:rPr>
          <w:rFonts w:ascii="Arial" w:eastAsia="Times New Roman" w:hAnsi="Arial" w:cs="Arial"/>
          <w:color w:val="333333"/>
          <w:sz w:val="19"/>
          <w:szCs w:val="19"/>
          <w:lang w:eastAsia="it-IT"/>
        </w:rPr>
        <w:t xml:space="preserve">di </w:t>
      </w:r>
      <w:hyperlink r:id="rId8" w:tooltip="Foto candidate da: Luca Riccardi" w:history="1">
        <w:r w:rsidRPr="00565141">
          <w:rPr>
            <w:rFonts w:ascii="Arial" w:eastAsia="Times New Roman" w:hAnsi="Arial" w:cs="Arial"/>
            <w:color w:val="333333"/>
            <w:sz w:val="19"/>
            <w:szCs w:val="19"/>
            <w:lang w:eastAsia="it-IT"/>
          </w:rPr>
          <w:t xml:space="preserve">Luca </w:t>
        </w:r>
        <w:proofErr w:type="spellStart"/>
        <w:r w:rsidRPr="00565141">
          <w:rPr>
            <w:rFonts w:ascii="Arial" w:eastAsia="Times New Roman" w:hAnsi="Arial" w:cs="Arial"/>
            <w:color w:val="333333"/>
            <w:sz w:val="19"/>
            <w:szCs w:val="19"/>
            <w:lang w:eastAsia="it-IT"/>
          </w:rPr>
          <w:t>Riccardi</w:t>
        </w:r>
        <w:proofErr w:type="spellEnd"/>
      </w:hyperlink>
      <w:r w:rsidRPr="00565141">
        <w:rPr>
          <w:rFonts w:ascii="Arial" w:eastAsia="Times New Roman" w:hAnsi="Arial" w:cs="Arial"/>
          <w:color w:val="333333"/>
          <w:sz w:val="19"/>
          <w:szCs w:val="19"/>
          <w:lang w:eastAsia="it-IT"/>
        </w:rPr>
        <w:t>)</w:t>
      </w:r>
      <w:r w:rsidRPr="00C922E6">
        <w:rPr>
          <w:rFonts w:ascii="Arial" w:eastAsia="Times New Roman" w:hAnsi="Arial" w:cs="Arial"/>
          <w:color w:val="333333"/>
          <w:sz w:val="19"/>
          <w:szCs w:val="19"/>
          <w:lang w:eastAsia="it-IT"/>
        </w:rPr>
        <w:t xml:space="preserve"> </w:t>
      </w:r>
      <w:r>
        <w:rPr>
          <w:rFonts w:ascii="Arial" w:eastAsia="Times New Roman" w:hAnsi="Arial" w:cs="Arial"/>
          <w:color w:val="333333"/>
          <w:sz w:val="19"/>
          <w:szCs w:val="19"/>
          <w:lang w:eastAsia="it-IT"/>
        </w:rPr>
        <w:t xml:space="preserve">                                              (</w:t>
      </w:r>
      <w:r w:rsidRPr="00565141">
        <w:rPr>
          <w:rFonts w:ascii="Arial" w:eastAsia="Times New Roman" w:hAnsi="Arial" w:cs="Arial"/>
          <w:color w:val="333333"/>
          <w:sz w:val="19"/>
          <w:szCs w:val="19"/>
          <w:lang w:eastAsia="it-IT"/>
        </w:rPr>
        <w:t>Foto d</w:t>
      </w:r>
      <w:r>
        <w:rPr>
          <w:rFonts w:ascii="Arial" w:eastAsia="Times New Roman" w:hAnsi="Arial" w:cs="Arial"/>
          <w:color w:val="333333"/>
          <w:sz w:val="19"/>
          <w:szCs w:val="19"/>
          <w:lang w:eastAsia="it-IT"/>
        </w:rPr>
        <w:t xml:space="preserve">i </w:t>
      </w:r>
      <w:r w:rsidRPr="00565141">
        <w:rPr>
          <w:rFonts w:ascii="Arial" w:eastAsia="Times New Roman" w:hAnsi="Arial" w:cs="Arial"/>
          <w:color w:val="333333"/>
          <w:sz w:val="19"/>
          <w:szCs w:val="19"/>
          <w:lang w:eastAsia="it-IT"/>
        </w:rPr>
        <w:t xml:space="preserve"> Vladimiro Marcoccio</w:t>
      </w:r>
      <w:r>
        <w:rPr>
          <w:rFonts w:ascii="Arial" w:eastAsia="Times New Roman" w:hAnsi="Arial" w:cs="Arial"/>
          <w:color w:val="333333"/>
          <w:sz w:val="19"/>
          <w:szCs w:val="19"/>
          <w:lang w:eastAsia="it-IT"/>
        </w:rPr>
        <w:t>)</w:t>
      </w:r>
      <w:r w:rsidRPr="00565141">
        <w:rPr>
          <w:rFonts w:ascii="Arial" w:eastAsia="Times New Roman" w:hAnsi="Arial" w:cs="Arial"/>
          <w:color w:val="333333"/>
          <w:sz w:val="19"/>
          <w:szCs w:val="19"/>
          <w:lang w:eastAsia="it-IT"/>
        </w:rPr>
        <w:t xml:space="preserve"> </w:t>
      </w:r>
    </w:p>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tbl>
      <w:tblPr>
        <w:tblpPr w:leftFromText="141" w:rightFromText="141" w:vertAnchor="text" w:horzAnchor="margin" w:tblpX="-142" w:tblpY="566"/>
        <w:tblW w:w="10490" w:type="dxa"/>
        <w:tblCellSpacing w:w="0" w:type="dxa"/>
        <w:tblCellMar>
          <w:left w:w="0" w:type="dxa"/>
          <w:right w:w="0" w:type="dxa"/>
        </w:tblCellMar>
        <w:tblLook w:val="0000"/>
      </w:tblPr>
      <w:tblGrid>
        <w:gridCol w:w="264"/>
        <w:gridCol w:w="10226"/>
      </w:tblGrid>
      <w:tr w:rsidR="00CA4999" w:rsidRPr="00A75290" w:rsidTr="0057345D">
        <w:trPr>
          <w:gridBefore w:val="1"/>
          <w:wBefore w:w="126" w:type="pct"/>
          <w:tblCellSpacing w:w="0" w:type="dxa"/>
        </w:trPr>
        <w:tc>
          <w:tcPr>
            <w:tcW w:w="4874" w:type="pct"/>
            <w:tcMar>
              <w:top w:w="0" w:type="dxa"/>
              <w:left w:w="0" w:type="dxa"/>
              <w:bottom w:w="225" w:type="dxa"/>
              <w:right w:w="0" w:type="dxa"/>
            </w:tcMar>
            <w:vAlign w:val="center"/>
          </w:tcPr>
          <w:p w:rsidR="00352BCF" w:rsidRPr="00DC7272" w:rsidRDefault="00DC7272" w:rsidP="00DC7272">
            <w:pPr>
              <w:jc w:val="both"/>
              <w:rPr>
                <w:rFonts w:ascii="Verdana" w:hAnsi="Verdana"/>
                <w:sz w:val="24"/>
                <w:szCs w:val="24"/>
              </w:rPr>
            </w:pPr>
            <w:r w:rsidRPr="00DC7272">
              <w:rPr>
                <w:rFonts w:ascii="Verdana" w:hAnsi="Verdana"/>
                <w:b/>
                <w:sz w:val="24"/>
                <w:szCs w:val="24"/>
              </w:rPr>
              <w:t xml:space="preserve">Una proposta per la </w:t>
            </w:r>
            <w:r>
              <w:rPr>
                <w:rFonts w:ascii="Verdana" w:hAnsi="Verdana"/>
                <w:b/>
                <w:sz w:val="24"/>
                <w:szCs w:val="24"/>
              </w:rPr>
              <w:t xml:space="preserve">soluzione della </w:t>
            </w:r>
            <w:r w:rsidRPr="00DC7272">
              <w:rPr>
                <w:rFonts w:ascii="Verdana" w:hAnsi="Verdana"/>
                <w:b/>
                <w:sz w:val="24"/>
                <w:szCs w:val="24"/>
              </w:rPr>
              <w:t xml:space="preserve">controversia sul Ninfeo rinascimentale di </w:t>
            </w:r>
            <w:proofErr w:type="spellStart"/>
            <w:r w:rsidRPr="00DC7272">
              <w:rPr>
                <w:rFonts w:ascii="Verdana" w:hAnsi="Verdana"/>
                <w:b/>
                <w:sz w:val="24"/>
                <w:szCs w:val="24"/>
              </w:rPr>
              <w:t>Orte</w:t>
            </w:r>
            <w:proofErr w:type="spellEnd"/>
            <w:r w:rsidRPr="00DC7272">
              <w:rPr>
                <w:rFonts w:ascii="Verdana" w:hAnsi="Verdana"/>
                <w:b/>
                <w:sz w:val="24"/>
                <w:szCs w:val="24"/>
              </w:rPr>
              <w:t xml:space="preserve"> sotterranea: un tentativo di conciliazione può recuperare il bene culturale alla fruizione dei turisti e riattivare </w:t>
            </w:r>
            <w:r>
              <w:rPr>
                <w:rFonts w:ascii="Verdana" w:hAnsi="Verdana"/>
                <w:b/>
                <w:sz w:val="24"/>
                <w:szCs w:val="24"/>
              </w:rPr>
              <w:t>l</w:t>
            </w:r>
            <w:r w:rsidRPr="00DC7272">
              <w:rPr>
                <w:rFonts w:ascii="Verdana" w:hAnsi="Verdana"/>
                <w:b/>
                <w:sz w:val="24"/>
                <w:szCs w:val="24"/>
              </w:rPr>
              <w:t xml:space="preserve">a collaborazione tra </w:t>
            </w:r>
            <w:r>
              <w:rPr>
                <w:rFonts w:ascii="Verdana" w:hAnsi="Verdana"/>
                <w:b/>
                <w:sz w:val="24"/>
                <w:szCs w:val="24"/>
              </w:rPr>
              <w:t xml:space="preserve">il </w:t>
            </w:r>
            <w:r w:rsidRPr="00DC7272">
              <w:rPr>
                <w:rFonts w:ascii="Verdana" w:hAnsi="Verdana"/>
                <w:b/>
                <w:sz w:val="24"/>
                <w:szCs w:val="24"/>
              </w:rPr>
              <w:t xml:space="preserve"> proprietario e </w:t>
            </w:r>
            <w:r>
              <w:rPr>
                <w:rFonts w:ascii="Verdana" w:hAnsi="Verdana"/>
                <w:b/>
                <w:sz w:val="24"/>
                <w:szCs w:val="24"/>
              </w:rPr>
              <w:t xml:space="preserve">il </w:t>
            </w:r>
            <w:r w:rsidRPr="00DC7272">
              <w:rPr>
                <w:rFonts w:ascii="Verdana" w:hAnsi="Verdana"/>
                <w:b/>
                <w:sz w:val="24"/>
                <w:szCs w:val="24"/>
              </w:rPr>
              <w:t xml:space="preserve">comune di </w:t>
            </w:r>
            <w:proofErr w:type="spellStart"/>
            <w:r w:rsidRPr="00DC7272">
              <w:rPr>
                <w:rFonts w:ascii="Verdana" w:hAnsi="Verdana"/>
                <w:b/>
                <w:sz w:val="24"/>
                <w:szCs w:val="24"/>
              </w:rPr>
              <w:t>Orte</w:t>
            </w:r>
            <w:proofErr w:type="spellEnd"/>
            <w:r w:rsidRPr="00DC7272">
              <w:rPr>
                <w:rFonts w:ascii="Verdana" w:hAnsi="Verdana"/>
                <w:b/>
                <w:sz w:val="24"/>
                <w:szCs w:val="24"/>
              </w:rPr>
              <w:t>.</w:t>
            </w:r>
          </w:p>
        </w:tc>
      </w:tr>
      <w:tr w:rsidR="00CA4999" w:rsidRPr="00A75290" w:rsidTr="0057345D">
        <w:trPr>
          <w:tblCellSpacing w:w="0" w:type="dxa"/>
        </w:trPr>
        <w:tc>
          <w:tcPr>
            <w:tcW w:w="5000" w:type="pct"/>
            <w:gridSpan w:val="2"/>
            <w:vAlign w:val="center"/>
          </w:tcPr>
          <w:tbl>
            <w:tblPr>
              <w:tblpPr w:leftFromText="45" w:rightFromText="45" w:vertAnchor="text"/>
              <w:tblW w:w="147" w:type="dxa"/>
              <w:tblCellSpacing w:w="15" w:type="dxa"/>
              <w:tblCellMar>
                <w:left w:w="0" w:type="dxa"/>
                <w:right w:w="0" w:type="dxa"/>
              </w:tblCellMar>
              <w:tblLook w:val="0000"/>
            </w:tblPr>
            <w:tblGrid>
              <w:gridCol w:w="147"/>
            </w:tblGrid>
            <w:tr w:rsidR="00CA4999" w:rsidRPr="00A75290" w:rsidTr="006520C2">
              <w:trPr>
                <w:trHeight w:val="293"/>
                <w:tblCellSpacing w:w="15" w:type="dxa"/>
              </w:trPr>
              <w:tc>
                <w:tcPr>
                  <w:tcW w:w="0" w:type="auto"/>
                  <w:vAlign w:val="center"/>
                </w:tcPr>
                <w:p w:rsidR="00CA4999" w:rsidRPr="00A75290" w:rsidRDefault="00CA4999" w:rsidP="00352BCF">
                  <w:pPr>
                    <w:rPr>
                      <w:rFonts w:ascii="Verdana" w:hAnsi="Verdana"/>
                      <w:sz w:val="16"/>
                      <w:szCs w:val="16"/>
                    </w:rPr>
                  </w:pPr>
                </w:p>
              </w:tc>
            </w:tr>
            <w:tr w:rsidR="00CA4999" w:rsidRPr="009E2C7A" w:rsidTr="006520C2">
              <w:trPr>
                <w:trHeight w:val="293"/>
                <w:tblCellSpacing w:w="15" w:type="dxa"/>
              </w:trPr>
              <w:tc>
                <w:tcPr>
                  <w:tcW w:w="0" w:type="auto"/>
                  <w:vAlign w:val="center"/>
                </w:tcPr>
                <w:p w:rsidR="00CA4999" w:rsidRPr="009E2C7A" w:rsidRDefault="00352BCF" w:rsidP="00352BCF">
                  <w:pPr>
                    <w:rPr>
                      <w:rFonts w:ascii="Verdana" w:hAnsi="Verdana"/>
                    </w:rPr>
                  </w:pPr>
                  <w:r w:rsidRPr="009E2C7A">
                    <w:rPr>
                      <w:rFonts w:ascii="Verdana" w:hAnsi="Verdana"/>
                    </w:rPr>
                    <w:t xml:space="preserve"> </w:t>
                  </w:r>
                </w:p>
              </w:tc>
            </w:tr>
          </w:tbl>
          <w:p w:rsidR="00CA4999" w:rsidRPr="00052977" w:rsidRDefault="00CA4999" w:rsidP="00352BCF">
            <w:pPr>
              <w:spacing w:before="100" w:beforeAutospacing="1" w:after="100" w:afterAutospacing="1"/>
              <w:rPr>
                <w:rFonts w:ascii="Verdana" w:hAnsi="Verdana"/>
              </w:rPr>
            </w:pPr>
            <w:r w:rsidRPr="00A02596">
              <w:rPr>
                <w:rFonts w:ascii="Verdana" w:hAnsi="Verdana"/>
              </w:rPr>
              <w:t xml:space="preserve">                                                                                       </w:t>
            </w:r>
            <w:r w:rsidR="00352BCF">
              <w:rPr>
                <w:rFonts w:ascii="Verdana" w:hAnsi="Verdana"/>
              </w:rPr>
              <w:t xml:space="preserve">          </w:t>
            </w:r>
            <w:r w:rsidRPr="00A02596">
              <w:rPr>
                <w:rFonts w:ascii="Verdana" w:hAnsi="Verdana"/>
              </w:rPr>
              <w:t xml:space="preserve"> </w:t>
            </w:r>
            <w:r w:rsidRPr="00052977">
              <w:rPr>
                <w:rFonts w:ascii="Verdana" w:hAnsi="Verdana"/>
              </w:rPr>
              <w:t xml:space="preserve">di Stefano </w:t>
            </w:r>
            <w:proofErr w:type="spellStart"/>
            <w:r w:rsidRPr="00052977">
              <w:rPr>
                <w:rFonts w:ascii="Verdana" w:hAnsi="Verdana"/>
              </w:rPr>
              <w:t>Stefanini</w:t>
            </w:r>
            <w:proofErr w:type="spellEnd"/>
            <w:r w:rsidR="00DA4A63">
              <w:rPr>
                <w:rFonts w:ascii="Verdana" w:hAnsi="Verdana"/>
              </w:rPr>
              <w:t xml:space="preserve"> </w:t>
            </w:r>
            <w:r w:rsidR="00DA4A63" w:rsidRPr="00DA4A63">
              <w:rPr>
                <w:rFonts w:ascii="Verdana" w:hAnsi="Verdana"/>
                <w:b/>
                <w:sz w:val="16"/>
                <w:szCs w:val="16"/>
              </w:rPr>
              <w:t>(*)</w:t>
            </w:r>
          </w:p>
          <w:p w:rsidR="00AF2A84" w:rsidRDefault="00CA4999" w:rsidP="00352BCF">
            <w:pPr>
              <w:spacing w:before="100" w:beforeAutospacing="1" w:after="100" w:afterAutospacing="1"/>
              <w:jc w:val="both"/>
              <w:rPr>
                <w:rFonts w:ascii="Verdana" w:hAnsi="Verdana"/>
              </w:rPr>
            </w:pPr>
            <w:r w:rsidRPr="009E2C7A">
              <w:rPr>
                <w:rFonts w:ascii="Verdana" w:hAnsi="Verdana"/>
                <w:b/>
              </w:rPr>
              <w:t>Viterbo</w:t>
            </w:r>
            <w:r w:rsidR="009E2C7A" w:rsidRPr="009E2C7A">
              <w:rPr>
                <w:rFonts w:ascii="Verdana" w:hAnsi="Verdana"/>
                <w:b/>
              </w:rPr>
              <w:t xml:space="preserve"> </w:t>
            </w:r>
            <w:proofErr w:type="spellStart"/>
            <w:r w:rsidR="00AF2A84">
              <w:rPr>
                <w:rFonts w:ascii="Verdana" w:hAnsi="Verdana"/>
                <w:b/>
              </w:rPr>
              <w:t>Orte</w:t>
            </w:r>
            <w:proofErr w:type="spellEnd"/>
            <w:r w:rsidR="00AF2A84">
              <w:rPr>
                <w:rFonts w:ascii="Verdana" w:hAnsi="Verdana"/>
                <w:b/>
              </w:rPr>
              <w:t xml:space="preserve"> 8 febbraio</w:t>
            </w:r>
            <w:r w:rsidR="009E2C7A" w:rsidRPr="009E2C7A">
              <w:rPr>
                <w:rFonts w:ascii="Verdana" w:hAnsi="Verdana"/>
                <w:b/>
              </w:rPr>
              <w:t xml:space="preserve"> 2011</w:t>
            </w:r>
            <w:r w:rsidR="009E2C7A" w:rsidRPr="009E2C7A">
              <w:rPr>
                <w:rFonts w:ascii="Verdana" w:hAnsi="Verdana"/>
              </w:rPr>
              <w:t xml:space="preserve"> -</w:t>
            </w:r>
            <w:r w:rsidRPr="00052977">
              <w:rPr>
                <w:rFonts w:ascii="Verdana" w:hAnsi="Verdana"/>
              </w:rPr>
              <w:t xml:space="preserve"> </w:t>
            </w:r>
            <w:r w:rsidR="00585CF6">
              <w:rPr>
                <w:rFonts w:ascii="Verdana" w:hAnsi="Verdana"/>
              </w:rPr>
              <w:t xml:space="preserve">In questi mesi come  mediatori per la conciliazione dell’Organismo costituito presso la Camera di Commercio siamo impegnati nei tentativi di conciliazione per le cause civili e commerciali dopo l’entrata in vigore del D. </w:t>
            </w:r>
            <w:proofErr w:type="spellStart"/>
            <w:r w:rsidR="00585CF6">
              <w:rPr>
                <w:rFonts w:ascii="Verdana" w:hAnsi="Verdana"/>
              </w:rPr>
              <w:t>Lgs</w:t>
            </w:r>
            <w:proofErr w:type="spellEnd"/>
            <w:r w:rsidR="00585CF6">
              <w:rPr>
                <w:rFonts w:ascii="Verdana" w:hAnsi="Verdana"/>
              </w:rPr>
              <w:t>. N. 28/2010</w:t>
            </w:r>
            <w:r w:rsidR="00DA4A63">
              <w:rPr>
                <w:rFonts w:ascii="Verdana" w:hAnsi="Verdana"/>
              </w:rPr>
              <w:t>, del  D.M. n. 180/2010 e d</w:t>
            </w:r>
            <w:r w:rsidR="00585CF6">
              <w:rPr>
                <w:rFonts w:ascii="Verdana" w:hAnsi="Verdana"/>
              </w:rPr>
              <w:t>ella Legge  26 febbraio 2011 n. 10</w:t>
            </w:r>
            <w:r w:rsidR="00AF2A84">
              <w:rPr>
                <w:rFonts w:ascii="Verdana" w:hAnsi="Verdana"/>
              </w:rPr>
              <w:t>.</w:t>
            </w:r>
          </w:p>
          <w:p w:rsidR="006815A9" w:rsidRDefault="00AF2A84" w:rsidP="00352BCF">
            <w:pPr>
              <w:spacing w:before="100" w:beforeAutospacing="1" w:after="100" w:afterAutospacing="1"/>
              <w:jc w:val="both"/>
              <w:rPr>
                <w:rFonts w:ascii="Verdana" w:hAnsi="Verdana"/>
              </w:rPr>
            </w:pPr>
            <w:r>
              <w:rPr>
                <w:rFonts w:ascii="Verdana" w:hAnsi="Verdana"/>
              </w:rPr>
              <w:t>C</w:t>
            </w:r>
            <w:r w:rsidR="00585CF6">
              <w:rPr>
                <w:rFonts w:ascii="Verdana" w:hAnsi="Verdana"/>
              </w:rPr>
              <w:t>on paziente</w:t>
            </w:r>
            <w:r>
              <w:rPr>
                <w:rFonts w:ascii="Verdana" w:hAnsi="Verdana"/>
              </w:rPr>
              <w:t xml:space="preserve"> </w:t>
            </w:r>
            <w:r w:rsidR="00585CF6">
              <w:rPr>
                <w:rFonts w:ascii="Verdana" w:hAnsi="Verdana"/>
              </w:rPr>
              <w:t>impegno stiamo convincendo cittadini e legali</w:t>
            </w:r>
            <w:r w:rsidR="006815A9">
              <w:rPr>
                <w:rFonts w:ascii="Verdana" w:hAnsi="Verdana"/>
              </w:rPr>
              <w:t xml:space="preserve"> sull’utilità del tentativo di conciliazione per gli indubbi vantaggi di rapidità (entro quattro mesi la procedura deve concludersi), entro 20 giorni dal deposito della domanda deve tenersi il primo incontro di conciliazione, non vi sono vincoli di procedura e formalità, sono assicurate  riservatezza</w:t>
            </w:r>
            <w:r w:rsidR="00560813">
              <w:rPr>
                <w:rFonts w:ascii="Verdana" w:hAnsi="Verdana"/>
              </w:rPr>
              <w:t xml:space="preserve"> e</w:t>
            </w:r>
            <w:r w:rsidR="006815A9">
              <w:rPr>
                <w:rFonts w:ascii="Verdana" w:hAnsi="Verdana"/>
              </w:rPr>
              <w:t xml:space="preserve"> semplificazione e la procedura </w:t>
            </w:r>
            <w:r w:rsidR="00560813">
              <w:rPr>
                <w:rFonts w:ascii="Verdana" w:hAnsi="Verdana"/>
              </w:rPr>
              <w:t>s</w:t>
            </w:r>
            <w:r w:rsidR="006815A9">
              <w:rPr>
                <w:rFonts w:ascii="Verdana" w:hAnsi="Verdana"/>
              </w:rPr>
              <w:t>i conclude con un accordo transattivo tra le parti</w:t>
            </w:r>
            <w:r w:rsidR="0057345D">
              <w:rPr>
                <w:rFonts w:ascii="Verdana" w:hAnsi="Verdana"/>
              </w:rPr>
              <w:t>, con benefici fiscali,</w:t>
            </w:r>
            <w:r w:rsidR="006815A9">
              <w:rPr>
                <w:rFonts w:ascii="Verdana" w:hAnsi="Verdana"/>
              </w:rPr>
              <w:t xml:space="preserve"> basato sulla reciproca convenienza e soddisfazione, in quanto nessuna delle parti perde, ma tutte ottengono benefici in termini di opportunità, di collaborazione di soddisfazione dei reali interessi economici</w:t>
            </w:r>
            <w:r w:rsidR="0057345D">
              <w:rPr>
                <w:rFonts w:ascii="Verdana" w:hAnsi="Verdana"/>
              </w:rPr>
              <w:t>,</w:t>
            </w:r>
            <w:r w:rsidR="006815A9">
              <w:rPr>
                <w:rFonts w:ascii="Verdana" w:hAnsi="Verdana"/>
              </w:rPr>
              <w:t>e non</w:t>
            </w:r>
            <w:r w:rsidR="0057345D">
              <w:rPr>
                <w:rFonts w:ascii="Verdana" w:hAnsi="Verdana"/>
              </w:rPr>
              <w:t>,</w:t>
            </w:r>
            <w:r w:rsidR="006815A9">
              <w:rPr>
                <w:rFonts w:ascii="Verdana" w:hAnsi="Verdana"/>
              </w:rPr>
              <w:t xml:space="preserve"> in gioco.</w:t>
            </w:r>
          </w:p>
          <w:p w:rsidR="00103248" w:rsidRDefault="00AF2A84" w:rsidP="00352BCF">
            <w:pPr>
              <w:spacing w:before="100" w:beforeAutospacing="1" w:after="100" w:afterAutospacing="1"/>
              <w:jc w:val="both"/>
              <w:rPr>
                <w:rFonts w:ascii="Verdana" w:hAnsi="Verdana"/>
              </w:rPr>
            </w:pPr>
            <w:r>
              <w:rPr>
                <w:rFonts w:ascii="Verdana" w:hAnsi="Verdana"/>
              </w:rPr>
              <w:t xml:space="preserve">Molte </w:t>
            </w:r>
            <w:r w:rsidR="006815A9">
              <w:rPr>
                <w:rFonts w:ascii="Verdana" w:hAnsi="Verdana"/>
              </w:rPr>
              <w:t xml:space="preserve">procedure conciliative </w:t>
            </w:r>
            <w:r w:rsidR="0057345D">
              <w:rPr>
                <w:rFonts w:ascii="Verdana" w:hAnsi="Verdana"/>
              </w:rPr>
              <w:t xml:space="preserve">sono approdate </w:t>
            </w:r>
            <w:r w:rsidR="006815A9">
              <w:rPr>
                <w:rFonts w:ascii="Verdana" w:hAnsi="Verdana"/>
              </w:rPr>
              <w:t xml:space="preserve">ad altrettanti </w:t>
            </w:r>
            <w:r w:rsidR="00103248">
              <w:rPr>
                <w:rFonts w:ascii="Verdana" w:hAnsi="Verdana"/>
              </w:rPr>
              <w:t xml:space="preserve">positivi </w:t>
            </w:r>
            <w:r w:rsidR="006815A9">
              <w:rPr>
                <w:rFonts w:ascii="Verdana" w:hAnsi="Verdana"/>
              </w:rPr>
              <w:t>accordi</w:t>
            </w:r>
            <w:r w:rsidR="00103248">
              <w:rPr>
                <w:rFonts w:ascii="Verdana" w:hAnsi="Verdana"/>
              </w:rPr>
              <w:t>,</w:t>
            </w:r>
            <w:r w:rsidR="006815A9">
              <w:rPr>
                <w:rFonts w:ascii="Verdana" w:hAnsi="Verdana"/>
              </w:rPr>
              <w:t xml:space="preserve"> una volta che le parti e gli avvocati che le assistevano hanno ben compreso i vantaggi </w:t>
            </w:r>
            <w:r w:rsidR="0057345D">
              <w:rPr>
                <w:rFonts w:ascii="Verdana" w:hAnsi="Verdana"/>
              </w:rPr>
              <w:t xml:space="preserve">operativi, economici e d’immagine </w:t>
            </w:r>
            <w:r w:rsidR="00103248">
              <w:rPr>
                <w:rFonts w:ascii="Verdana" w:hAnsi="Verdana"/>
              </w:rPr>
              <w:t xml:space="preserve">di cui </w:t>
            </w:r>
            <w:r w:rsidR="006815A9">
              <w:rPr>
                <w:rFonts w:ascii="Verdana" w:hAnsi="Verdana"/>
              </w:rPr>
              <w:t>avrebbero benefici</w:t>
            </w:r>
            <w:r w:rsidR="00103248">
              <w:rPr>
                <w:rFonts w:ascii="Verdana" w:hAnsi="Verdana"/>
              </w:rPr>
              <w:t xml:space="preserve">ato. </w:t>
            </w:r>
          </w:p>
          <w:p w:rsidR="00AF2A84" w:rsidRDefault="00AF2A84" w:rsidP="00352BCF">
            <w:pPr>
              <w:spacing w:before="100" w:beforeAutospacing="1" w:after="100" w:afterAutospacing="1"/>
              <w:jc w:val="both"/>
              <w:rPr>
                <w:rFonts w:ascii="Verdana" w:hAnsi="Verdana"/>
              </w:rPr>
            </w:pPr>
          </w:p>
          <w:p w:rsidR="00AF2A84" w:rsidRDefault="00AF2A84" w:rsidP="00352BCF">
            <w:pPr>
              <w:spacing w:before="100" w:beforeAutospacing="1" w:after="100" w:afterAutospacing="1"/>
              <w:jc w:val="both"/>
              <w:rPr>
                <w:rFonts w:ascii="Verdana" w:hAnsi="Verdana"/>
              </w:rPr>
            </w:pPr>
          </w:p>
          <w:p w:rsidR="006815A9" w:rsidRDefault="00103248" w:rsidP="00352BCF">
            <w:pPr>
              <w:spacing w:before="100" w:beforeAutospacing="1" w:after="100" w:afterAutospacing="1"/>
              <w:jc w:val="both"/>
              <w:rPr>
                <w:rFonts w:ascii="Verdana" w:hAnsi="Verdana"/>
              </w:rPr>
            </w:pPr>
            <w:r>
              <w:rPr>
                <w:rFonts w:ascii="Verdana" w:hAnsi="Verdana"/>
              </w:rPr>
              <w:lastRenderedPageBreak/>
              <w:t>Mi domando ora se la conciliazione possa giovare ad un caso che reputo sintomatico per il bene oggetto di controversia: un Ninfeo del periodo rinascimentale, incastonato come un gioiello ne</w:t>
            </w:r>
            <w:r w:rsidR="0057345D">
              <w:rPr>
                <w:rFonts w:ascii="Verdana" w:hAnsi="Verdana"/>
              </w:rPr>
              <w:t>l sistema di</w:t>
            </w:r>
            <w:r>
              <w:rPr>
                <w:rFonts w:ascii="Verdana" w:hAnsi="Verdana"/>
              </w:rPr>
              <w:t xml:space="preserve"> cunicoli </w:t>
            </w:r>
            <w:r w:rsidR="0057345D">
              <w:rPr>
                <w:rFonts w:ascii="Verdana" w:hAnsi="Verdana"/>
              </w:rPr>
              <w:t xml:space="preserve">e cisterne del periodo  </w:t>
            </w:r>
            <w:proofErr w:type="spellStart"/>
            <w:r>
              <w:rPr>
                <w:rFonts w:ascii="Verdana" w:hAnsi="Verdana"/>
              </w:rPr>
              <w:t>etrus</w:t>
            </w:r>
            <w:r w:rsidR="0057345D">
              <w:rPr>
                <w:rFonts w:ascii="Verdana" w:hAnsi="Verdana"/>
              </w:rPr>
              <w:t>co-</w:t>
            </w:r>
            <w:r>
              <w:rPr>
                <w:rFonts w:ascii="Verdana" w:hAnsi="Verdana"/>
              </w:rPr>
              <w:t>roman</w:t>
            </w:r>
            <w:r w:rsidR="0057345D">
              <w:rPr>
                <w:rFonts w:ascii="Verdana" w:hAnsi="Verdana"/>
              </w:rPr>
              <w:t>o</w:t>
            </w:r>
            <w:proofErr w:type="spellEnd"/>
            <w:r>
              <w:rPr>
                <w:rFonts w:ascii="Verdana" w:hAnsi="Verdana"/>
              </w:rPr>
              <w:t xml:space="preserve"> </w:t>
            </w:r>
            <w:r w:rsidR="006815A9">
              <w:rPr>
                <w:rFonts w:ascii="Verdana" w:hAnsi="Verdana"/>
              </w:rPr>
              <w:t xml:space="preserve"> </w:t>
            </w:r>
            <w:r>
              <w:rPr>
                <w:rFonts w:ascii="Verdana" w:hAnsi="Verdana"/>
              </w:rPr>
              <w:t xml:space="preserve">del sottosuolo tufaceo di </w:t>
            </w:r>
            <w:proofErr w:type="spellStart"/>
            <w:r>
              <w:rPr>
                <w:rFonts w:ascii="Verdana" w:hAnsi="Verdana"/>
              </w:rPr>
              <w:t>Orte</w:t>
            </w:r>
            <w:proofErr w:type="spellEnd"/>
            <w:r w:rsidR="001466C0">
              <w:rPr>
                <w:rFonts w:ascii="Verdana" w:hAnsi="Verdana"/>
              </w:rPr>
              <w:t>, in Palazzo Zuppante</w:t>
            </w:r>
            <w:r>
              <w:rPr>
                <w:rFonts w:ascii="Verdana" w:hAnsi="Verdana"/>
              </w:rPr>
              <w:t>.</w:t>
            </w:r>
          </w:p>
          <w:p w:rsidR="00103248" w:rsidRDefault="00103248" w:rsidP="00352BCF">
            <w:pPr>
              <w:spacing w:before="100" w:beforeAutospacing="1" w:after="100" w:afterAutospacing="1"/>
              <w:jc w:val="both"/>
              <w:rPr>
                <w:rFonts w:ascii="Verdana" w:hAnsi="Verdana"/>
              </w:rPr>
            </w:pPr>
            <w:r>
              <w:rPr>
                <w:rFonts w:ascii="Verdana" w:hAnsi="Verdana"/>
              </w:rPr>
              <w:t>Questo rarissimo esempio di archeologia</w:t>
            </w:r>
            <w:r w:rsidR="0057345D">
              <w:rPr>
                <w:rFonts w:ascii="Verdana" w:hAnsi="Verdana"/>
              </w:rPr>
              <w:t xml:space="preserve"> sotterranea</w:t>
            </w:r>
            <w:r w:rsidR="000F6F2A">
              <w:rPr>
                <w:rFonts w:ascii="Verdana" w:hAnsi="Verdana"/>
              </w:rPr>
              <w:t>,</w:t>
            </w:r>
            <w:r>
              <w:rPr>
                <w:rFonts w:ascii="Verdana" w:hAnsi="Verdana"/>
              </w:rPr>
              <w:t xml:space="preserve"> oggetto di controversia giudiziaria tra il privato proprietario ed il comune di </w:t>
            </w:r>
            <w:proofErr w:type="spellStart"/>
            <w:r>
              <w:rPr>
                <w:rFonts w:ascii="Verdana" w:hAnsi="Verdana"/>
              </w:rPr>
              <w:t>Orte</w:t>
            </w:r>
            <w:proofErr w:type="spellEnd"/>
            <w:r w:rsidR="000F6F2A">
              <w:rPr>
                <w:rFonts w:ascii="Verdana" w:hAnsi="Verdana"/>
              </w:rPr>
              <w:t>,</w:t>
            </w:r>
            <w:r>
              <w:rPr>
                <w:rFonts w:ascii="Verdana" w:hAnsi="Verdana"/>
              </w:rPr>
              <w:t xml:space="preserve">  per una questione legata al passaggio ed alla sicurezza dei visitatori</w:t>
            </w:r>
            <w:r w:rsidR="0057345D">
              <w:rPr>
                <w:rFonts w:ascii="Verdana" w:hAnsi="Verdana"/>
              </w:rPr>
              <w:t>,</w:t>
            </w:r>
            <w:r>
              <w:rPr>
                <w:rFonts w:ascii="Verdana" w:hAnsi="Verdana"/>
              </w:rPr>
              <w:t xml:space="preserve"> </w:t>
            </w:r>
            <w:r w:rsidR="009E2C7A">
              <w:rPr>
                <w:rFonts w:ascii="Verdana" w:hAnsi="Verdana"/>
              </w:rPr>
              <w:t>ritengo possa essere nuovamente recuperato alla frequentazione di turisti e di residenti</w:t>
            </w:r>
            <w:r w:rsidR="000F6F2A">
              <w:rPr>
                <w:rFonts w:ascii="Verdana" w:hAnsi="Verdana"/>
              </w:rPr>
              <w:t>,</w:t>
            </w:r>
            <w:r w:rsidR="009E2C7A">
              <w:rPr>
                <w:rFonts w:ascii="Verdana" w:hAnsi="Verdana"/>
              </w:rPr>
              <w:t xml:space="preserve"> </w:t>
            </w:r>
            <w:r w:rsidR="0057345D">
              <w:rPr>
                <w:rFonts w:ascii="Verdana" w:hAnsi="Verdana"/>
              </w:rPr>
              <w:t xml:space="preserve"> </w:t>
            </w:r>
            <w:r w:rsidR="00AF2A84">
              <w:rPr>
                <w:rFonts w:ascii="Verdana" w:hAnsi="Verdana"/>
              </w:rPr>
              <w:t>tentando con spirito costruttivo</w:t>
            </w:r>
            <w:r w:rsidR="0057345D">
              <w:rPr>
                <w:rFonts w:ascii="Verdana" w:hAnsi="Verdana"/>
              </w:rPr>
              <w:t xml:space="preserve"> di </w:t>
            </w:r>
            <w:r w:rsidR="009E2C7A">
              <w:rPr>
                <w:rFonts w:ascii="Verdana" w:hAnsi="Verdana"/>
              </w:rPr>
              <w:t>riallacci</w:t>
            </w:r>
            <w:r w:rsidR="0057345D">
              <w:rPr>
                <w:rFonts w:ascii="Verdana" w:hAnsi="Verdana"/>
              </w:rPr>
              <w:t>are</w:t>
            </w:r>
            <w:r w:rsidR="000F6F2A">
              <w:rPr>
                <w:rFonts w:ascii="Verdana" w:hAnsi="Verdana"/>
              </w:rPr>
              <w:t xml:space="preserve"> </w:t>
            </w:r>
            <w:r w:rsidR="009E2C7A">
              <w:rPr>
                <w:rFonts w:ascii="Verdana" w:hAnsi="Verdana"/>
              </w:rPr>
              <w:t xml:space="preserve"> un rapporto di collaborazione tra parte pubblica e privata</w:t>
            </w:r>
            <w:r w:rsidR="0057345D">
              <w:rPr>
                <w:rFonts w:ascii="Verdana" w:hAnsi="Verdana"/>
              </w:rPr>
              <w:t>,</w:t>
            </w:r>
            <w:r w:rsidR="009E2C7A">
              <w:rPr>
                <w:rFonts w:ascii="Verdana" w:hAnsi="Verdana"/>
              </w:rPr>
              <w:t xml:space="preserve"> in nome del superiore interesse</w:t>
            </w:r>
            <w:r w:rsidR="000432D9">
              <w:rPr>
                <w:rFonts w:ascii="Verdana" w:hAnsi="Verdana"/>
              </w:rPr>
              <w:t xml:space="preserve"> </w:t>
            </w:r>
            <w:r w:rsidR="009E2C7A">
              <w:rPr>
                <w:rFonts w:ascii="Verdana" w:hAnsi="Verdana"/>
              </w:rPr>
              <w:t xml:space="preserve">alla fruizione di un bene culturale unico nel suo genere, </w:t>
            </w:r>
            <w:r w:rsidR="000432D9">
              <w:rPr>
                <w:rFonts w:ascii="Verdana" w:hAnsi="Verdana"/>
              </w:rPr>
              <w:t xml:space="preserve">interdetto </w:t>
            </w:r>
            <w:r w:rsidR="009E2C7A">
              <w:rPr>
                <w:rFonts w:ascii="Verdana" w:hAnsi="Verdana"/>
              </w:rPr>
              <w:t xml:space="preserve">alle visite solo perché le parti in conflitto non riescono </w:t>
            </w:r>
            <w:r w:rsidR="000432D9">
              <w:rPr>
                <w:rFonts w:ascii="Verdana" w:hAnsi="Verdana"/>
              </w:rPr>
              <w:t>a pervenire ad un accordo soddisfacente per i loro rispettivi bisogni e</w:t>
            </w:r>
            <w:r w:rsidR="00AF2A84">
              <w:rPr>
                <w:rFonts w:ascii="Verdana" w:hAnsi="Verdana"/>
              </w:rPr>
              <w:t xml:space="preserve"> legittimi </w:t>
            </w:r>
            <w:r w:rsidR="000432D9">
              <w:rPr>
                <w:rFonts w:ascii="Verdana" w:hAnsi="Verdana"/>
              </w:rPr>
              <w:t xml:space="preserve"> interessi.</w:t>
            </w:r>
          </w:p>
          <w:p w:rsidR="000F6F2A" w:rsidRDefault="00AF2A84" w:rsidP="00352BCF">
            <w:pPr>
              <w:spacing w:before="100" w:beforeAutospacing="1" w:after="100" w:afterAutospacing="1"/>
              <w:jc w:val="both"/>
              <w:rPr>
                <w:rFonts w:ascii="Verdana" w:hAnsi="Verdana"/>
              </w:rPr>
            </w:pPr>
            <w:r>
              <w:rPr>
                <w:rFonts w:ascii="Verdana" w:hAnsi="Verdana"/>
              </w:rPr>
              <w:t>Pur non conoscendo le fasi e lo stato della causa, r</w:t>
            </w:r>
            <w:r w:rsidR="000432D9">
              <w:rPr>
                <w:rFonts w:ascii="Verdana" w:hAnsi="Verdana"/>
              </w:rPr>
              <w:t>ivolgo</w:t>
            </w:r>
            <w:r>
              <w:rPr>
                <w:rFonts w:ascii="Verdana" w:hAnsi="Verdana"/>
              </w:rPr>
              <w:t>, comunque,</w:t>
            </w:r>
            <w:r w:rsidR="000432D9">
              <w:rPr>
                <w:rFonts w:ascii="Verdana" w:hAnsi="Verdana"/>
              </w:rPr>
              <w:t xml:space="preserve"> un appello alle parti in causa, il privato proprietario ed il Comune di </w:t>
            </w:r>
            <w:proofErr w:type="spellStart"/>
            <w:r w:rsidR="000432D9">
              <w:rPr>
                <w:rFonts w:ascii="Verdana" w:hAnsi="Verdana"/>
              </w:rPr>
              <w:t>Orte</w:t>
            </w:r>
            <w:proofErr w:type="spellEnd"/>
            <w:r w:rsidR="000432D9">
              <w:rPr>
                <w:rFonts w:ascii="Verdana" w:hAnsi="Verdana"/>
              </w:rPr>
              <w:t xml:space="preserve">, ai loro legali, ai giudici presso i quali la controversia è pendente a </w:t>
            </w:r>
            <w:r>
              <w:rPr>
                <w:rFonts w:ascii="Verdana" w:hAnsi="Verdana"/>
              </w:rPr>
              <w:t xml:space="preserve">tentare </w:t>
            </w:r>
            <w:r w:rsidR="000432D9">
              <w:rPr>
                <w:rFonts w:ascii="Verdana" w:hAnsi="Verdana"/>
              </w:rPr>
              <w:t xml:space="preserve"> – secondo i tempi, le condizioni e le modalità previste dalla legge </w:t>
            </w:r>
            <w:r>
              <w:rPr>
                <w:rFonts w:ascii="Verdana" w:hAnsi="Verdana"/>
              </w:rPr>
              <w:t>–</w:t>
            </w:r>
            <w:r w:rsidR="000432D9">
              <w:rPr>
                <w:rFonts w:ascii="Verdana" w:hAnsi="Verdana"/>
              </w:rPr>
              <w:t xml:space="preserve"> un</w:t>
            </w:r>
            <w:r>
              <w:rPr>
                <w:rFonts w:ascii="Verdana" w:hAnsi="Verdana"/>
              </w:rPr>
              <w:t>a procedura</w:t>
            </w:r>
            <w:r w:rsidR="000432D9">
              <w:rPr>
                <w:rFonts w:ascii="Verdana" w:hAnsi="Verdana"/>
              </w:rPr>
              <w:t xml:space="preserve"> di mediazione per la conciliazione presso l’Organismo di Conciliazione della Camera di Commercio di Viterbo, offrendo il mio ministero di conciliatore a titolo gratuito (devolvendo gli eventuali compensi che dovessero derivar</w:t>
            </w:r>
            <w:r w:rsidR="003F438B">
              <w:rPr>
                <w:rFonts w:ascii="Verdana" w:hAnsi="Verdana"/>
              </w:rPr>
              <w:t>e</w:t>
            </w:r>
            <w:r w:rsidR="000432D9">
              <w:rPr>
                <w:rFonts w:ascii="Verdana" w:hAnsi="Verdana"/>
              </w:rPr>
              <w:t xml:space="preserve"> dall’incarico</w:t>
            </w:r>
            <w:r w:rsidR="000F6F2A">
              <w:rPr>
                <w:rFonts w:ascii="Verdana" w:hAnsi="Verdana"/>
              </w:rPr>
              <w:t xml:space="preserve"> come contributo alla manutenzione ed agli oneri legati alla riapertura del sito</w:t>
            </w:r>
            <w:r w:rsidR="000432D9">
              <w:rPr>
                <w:rFonts w:ascii="Verdana" w:hAnsi="Verdana"/>
              </w:rPr>
              <w:t>)</w:t>
            </w:r>
            <w:r w:rsidR="000F6F2A">
              <w:rPr>
                <w:rFonts w:ascii="Verdana" w:hAnsi="Verdana"/>
              </w:rPr>
              <w:t xml:space="preserve">, invitando come esperto nella materia un archeologo che mi assista come  esperto della materia. </w:t>
            </w:r>
          </w:p>
          <w:p w:rsidR="00DA4A63" w:rsidRPr="00A02596" w:rsidRDefault="00DA4A63" w:rsidP="00DA4A63">
            <w:pPr>
              <w:spacing w:before="100" w:beforeAutospacing="1" w:after="100" w:afterAutospacing="1"/>
              <w:jc w:val="both"/>
              <w:rPr>
                <w:rFonts w:ascii="Verdana" w:hAnsi="Verdana"/>
              </w:rPr>
            </w:pPr>
            <w:r w:rsidRPr="00052977">
              <w:rPr>
                <w:rFonts w:ascii="Verdana" w:hAnsi="Verdana"/>
              </w:rPr>
              <w:t xml:space="preserve">Sono </w:t>
            </w:r>
            <w:r w:rsidR="0057345D">
              <w:rPr>
                <w:rFonts w:ascii="Verdana" w:hAnsi="Verdana"/>
              </w:rPr>
              <w:t xml:space="preserve"> inoltre </w:t>
            </w:r>
            <w:r w:rsidRPr="00052977">
              <w:rPr>
                <w:rFonts w:ascii="Verdana" w:hAnsi="Verdana"/>
              </w:rPr>
              <w:t>convinto che la diffusione capillare (a partire dai nostri Istituti scolastici) di una cultura della conciliazione tra i cittadini</w:t>
            </w:r>
            <w:r w:rsidR="0057345D">
              <w:rPr>
                <w:rFonts w:ascii="Verdana" w:hAnsi="Verdana"/>
              </w:rPr>
              <w:t>, le istituzioni</w:t>
            </w:r>
            <w:r w:rsidRPr="00052977">
              <w:rPr>
                <w:rFonts w:ascii="Verdana" w:hAnsi="Verdana"/>
              </w:rPr>
              <w:t xml:space="preserve"> e le imprese porterà alla creazione di valide soluzioni negoziali delle controversie per un tessuto economico-sociale troppo spesso orientato ad una sterile conflittualità, contraria ai migliori principi ispiratori del mercato, dei Valori sociali e, soprattutto, della nostra costituzione economica repubblicana</w:t>
            </w:r>
            <w:r w:rsidRPr="00A02596">
              <w:rPr>
                <w:rFonts w:ascii="Verdana" w:hAnsi="Verdana"/>
              </w:rPr>
              <w:t>.</w:t>
            </w:r>
          </w:p>
          <w:p w:rsidR="000F6F2A" w:rsidRDefault="00DA4A63" w:rsidP="00352BCF">
            <w:pPr>
              <w:spacing w:before="100" w:beforeAutospacing="1" w:after="100" w:afterAutospacing="1"/>
              <w:jc w:val="both"/>
              <w:rPr>
                <w:rFonts w:ascii="Verdana" w:hAnsi="Verdana"/>
              </w:rPr>
            </w:pPr>
            <w:r>
              <w:rPr>
                <w:rFonts w:ascii="Verdana" w:hAnsi="Verdana"/>
              </w:rPr>
              <w:t>S</w:t>
            </w:r>
            <w:r w:rsidR="000F6F2A">
              <w:rPr>
                <w:rFonts w:ascii="Verdana" w:hAnsi="Verdana"/>
              </w:rPr>
              <w:t xml:space="preserve">ono certo che in breve tempo le parti possano addivenire ad un accordo che recuperi al pubblico un bene archeologico come </w:t>
            </w:r>
            <w:r w:rsidR="00AF2A84">
              <w:rPr>
                <w:rFonts w:ascii="Verdana" w:hAnsi="Verdana"/>
              </w:rPr>
              <w:t xml:space="preserve">qualificato </w:t>
            </w:r>
            <w:r w:rsidR="000F6F2A">
              <w:rPr>
                <w:rFonts w:ascii="Verdana" w:hAnsi="Verdana"/>
              </w:rPr>
              <w:t>attrattore di turisti</w:t>
            </w:r>
            <w:r w:rsidR="0057345D">
              <w:rPr>
                <w:rFonts w:ascii="Verdana" w:hAnsi="Verdana"/>
              </w:rPr>
              <w:t>,</w:t>
            </w:r>
            <w:r w:rsidR="000F6F2A">
              <w:rPr>
                <w:rFonts w:ascii="Verdana" w:hAnsi="Verdana"/>
              </w:rPr>
              <w:t xml:space="preserve"> verso l’esclusiva suggestione dei sotterranei che fanno dell’ </w:t>
            </w:r>
            <w:proofErr w:type="spellStart"/>
            <w:r w:rsidR="000F6F2A">
              <w:rPr>
                <w:rFonts w:ascii="Verdana" w:hAnsi="Verdana"/>
              </w:rPr>
              <w:t>Insula</w:t>
            </w:r>
            <w:proofErr w:type="spellEnd"/>
            <w:r w:rsidR="000F6F2A">
              <w:rPr>
                <w:rFonts w:ascii="Verdana" w:hAnsi="Verdana"/>
              </w:rPr>
              <w:t xml:space="preserve"> Aurea</w:t>
            </w:r>
            <w:r w:rsidR="00560813">
              <w:rPr>
                <w:rFonts w:ascii="Verdana" w:hAnsi="Verdana"/>
              </w:rPr>
              <w:t xml:space="preserve">, </w:t>
            </w:r>
            <w:r w:rsidR="0057345D">
              <w:rPr>
                <w:rFonts w:ascii="Verdana" w:hAnsi="Verdana"/>
              </w:rPr>
              <w:t xml:space="preserve">di </w:t>
            </w:r>
            <w:proofErr w:type="spellStart"/>
            <w:r w:rsidR="00560813">
              <w:rPr>
                <w:rFonts w:ascii="Verdana" w:hAnsi="Verdana"/>
              </w:rPr>
              <w:t>Orte</w:t>
            </w:r>
            <w:proofErr w:type="spellEnd"/>
            <w:r w:rsidR="00AF2A84">
              <w:rPr>
                <w:rFonts w:ascii="Verdana" w:hAnsi="Verdana"/>
              </w:rPr>
              <w:t xml:space="preserve"> (con qualche ritocco di arredo urbano, più verde e una graduale riqualificazione delle pavimentazioni)</w:t>
            </w:r>
            <w:r w:rsidR="000F6F2A">
              <w:rPr>
                <w:rFonts w:ascii="Verdana" w:hAnsi="Verdana"/>
              </w:rPr>
              <w:t xml:space="preserve"> uno dei Borghi più affascinanti della regione Tiberina.  </w:t>
            </w:r>
          </w:p>
          <w:p w:rsidR="006815A9" w:rsidRDefault="000F6F2A" w:rsidP="00352BCF">
            <w:pPr>
              <w:spacing w:before="100" w:beforeAutospacing="1" w:after="100" w:afterAutospacing="1"/>
              <w:jc w:val="both"/>
              <w:rPr>
                <w:rFonts w:ascii="Verdana" w:hAnsi="Verdana"/>
              </w:rPr>
            </w:pPr>
            <w:r>
              <w:rPr>
                <w:rFonts w:ascii="Verdana" w:hAnsi="Verdana"/>
              </w:rPr>
              <w:t>Spero che cittadini, istituzioni,  volontariato e forze politiche  appoggino questa iniziativa che può costituire un positi</w:t>
            </w:r>
            <w:r w:rsidR="00560813">
              <w:rPr>
                <w:rFonts w:ascii="Verdana" w:hAnsi="Verdana"/>
              </w:rPr>
              <w:t>v</w:t>
            </w:r>
            <w:r>
              <w:rPr>
                <w:rFonts w:ascii="Verdana" w:hAnsi="Verdana"/>
              </w:rPr>
              <w:t xml:space="preserve">o precedente per recuperare alla fruizione </w:t>
            </w:r>
            <w:r w:rsidR="00DA4A63">
              <w:rPr>
                <w:rFonts w:ascii="Verdana" w:hAnsi="Verdana"/>
              </w:rPr>
              <w:t xml:space="preserve">tanti beni culturali </w:t>
            </w:r>
            <w:r w:rsidR="00560813">
              <w:rPr>
                <w:rFonts w:ascii="Verdana" w:hAnsi="Verdana"/>
              </w:rPr>
              <w:t xml:space="preserve">chiusi al pubblico per varie motivazioni spesso legate ad incuria o negligenza ed in attesa di essere </w:t>
            </w:r>
            <w:r w:rsidR="00DA4A63">
              <w:rPr>
                <w:rFonts w:ascii="Verdana" w:hAnsi="Verdana"/>
              </w:rPr>
              <w:t xml:space="preserve"> </w:t>
            </w:r>
            <w:r w:rsidR="00560813">
              <w:rPr>
                <w:rFonts w:ascii="Verdana" w:hAnsi="Verdana"/>
              </w:rPr>
              <w:t xml:space="preserve">opportunamente </w:t>
            </w:r>
            <w:r w:rsidR="00DA4A63">
              <w:rPr>
                <w:rFonts w:ascii="Verdana" w:hAnsi="Verdana"/>
              </w:rPr>
              <w:t>valorizza</w:t>
            </w:r>
            <w:r w:rsidR="00560813">
              <w:rPr>
                <w:rFonts w:ascii="Verdana" w:hAnsi="Verdana"/>
              </w:rPr>
              <w:t>ti</w:t>
            </w:r>
            <w:r w:rsidR="00DA4A63">
              <w:rPr>
                <w:rFonts w:ascii="Verdana" w:hAnsi="Verdana"/>
              </w:rPr>
              <w:t>.</w:t>
            </w:r>
            <w:r>
              <w:rPr>
                <w:rFonts w:ascii="Verdana" w:hAnsi="Verdana"/>
              </w:rPr>
              <w:t xml:space="preserve"> </w:t>
            </w:r>
          </w:p>
          <w:p w:rsidR="00DA4A63" w:rsidRDefault="00DA4A63" w:rsidP="00DA4A63">
            <w:pPr>
              <w:spacing w:before="100" w:beforeAutospacing="1" w:after="100" w:afterAutospacing="1"/>
              <w:jc w:val="both"/>
              <w:rPr>
                <w:rFonts w:ascii="Verdana" w:hAnsi="Verdana"/>
              </w:rPr>
            </w:pPr>
            <w:r w:rsidRPr="00DA4A63">
              <w:rPr>
                <w:rFonts w:ascii="Verdana" w:hAnsi="Verdana"/>
                <w:b/>
                <w:sz w:val="16"/>
                <w:szCs w:val="16"/>
              </w:rPr>
              <w:t>(*)</w:t>
            </w:r>
            <w:r>
              <w:rPr>
                <w:rFonts w:ascii="Verdana" w:hAnsi="Verdana"/>
                <w:sz w:val="16"/>
                <w:szCs w:val="16"/>
              </w:rPr>
              <w:t xml:space="preserve"> </w:t>
            </w:r>
            <w:r w:rsidRPr="00352BCF">
              <w:rPr>
                <w:rFonts w:ascii="Verdana" w:hAnsi="Verdana"/>
                <w:sz w:val="16"/>
                <w:szCs w:val="16"/>
              </w:rPr>
              <w:t xml:space="preserve">Conciliatore presso la Camera di Commercio di Viterbo  </w:t>
            </w:r>
          </w:p>
          <w:p w:rsidR="000F6F2A" w:rsidRDefault="000F6F2A" w:rsidP="00352BCF">
            <w:pPr>
              <w:spacing w:before="100" w:beforeAutospacing="1" w:after="100" w:afterAutospacing="1"/>
              <w:jc w:val="both"/>
              <w:rPr>
                <w:rFonts w:ascii="Verdana" w:hAnsi="Verdana"/>
              </w:rPr>
            </w:pPr>
          </w:p>
          <w:p w:rsidR="00DA4A63" w:rsidRDefault="00DA4A63" w:rsidP="00352BCF">
            <w:pPr>
              <w:spacing w:before="100" w:beforeAutospacing="1" w:after="100" w:afterAutospacing="1"/>
              <w:jc w:val="both"/>
              <w:rPr>
                <w:rFonts w:ascii="Verdana" w:hAnsi="Verdana"/>
              </w:rPr>
            </w:pPr>
          </w:p>
          <w:p w:rsidR="00DA4A63" w:rsidRDefault="00DA4A63" w:rsidP="00352BCF">
            <w:pPr>
              <w:spacing w:before="100" w:beforeAutospacing="1" w:after="100" w:afterAutospacing="1"/>
              <w:jc w:val="both"/>
              <w:rPr>
                <w:rFonts w:ascii="Verdana" w:hAnsi="Verdana"/>
              </w:rPr>
            </w:pPr>
          </w:p>
          <w:p w:rsidR="00DA4A63" w:rsidRDefault="00DA4A63" w:rsidP="00352BCF">
            <w:pPr>
              <w:spacing w:before="100" w:beforeAutospacing="1" w:after="100" w:afterAutospacing="1"/>
              <w:jc w:val="both"/>
              <w:rPr>
                <w:rFonts w:ascii="Verdana" w:hAnsi="Verdana"/>
              </w:rPr>
            </w:pPr>
          </w:p>
          <w:p w:rsidR="00DA4A63" w:rsidRDefault="00DA4A63" w:rsidP="00352BCF">
            <w:pPr>
              <w:spacing w:before="100" w:beforeAutospacing="1" w:after="100" w:afterAutospacing="1"/>
              <w:jc w:val="both"/>
              <w:rPr>
                <w:rFonts w:ascii="Verdana" w:hAnsi="Verdana"/>
              </w:rPr>
            </w:pPr>
          </w:p>
          <w:p w:rsidR="00DA4A63" w:rsidRDefault="00DA4A63" w:rsidP="00352BCF">
            <w:pPr>
              <w:spacing w:before="100" w:beforeAutospacing="1" w:after="100" w:afterAutospacing="1"/>
              <w:jc w:val="both"/>
              <w:rPr>
                <w:rFonts w:ascii="Verdana" w:hAnsi="Verdana"/>
              </w:rPr>
            </w:pP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r w:rsidRPr="004249EC">
              <w:rPr>
                <w:rFonts w:ascii="HelveticaNeue-Condensed" w:hAnsi="HelveticaNeue-Condensed" w:cs="HelveticaNeue-Condensed"/>
                <w:b/>
              </w:rPr>
              <w:t xml:space="preserve">Il Ninfeo di </w:t>
            </w:r>
            <w:proofErr w:type="spellStart"/>
            <w:r w:rsidRPr="004249EC">
              <w:rPr>
                <w:rFonts w:ascii="HelveticaNeue-Condensed" w:hAnsi="HelveticaNeue-Condensed" w:cs="HelveticaNeue-Condensed"/>
                <w:b/>
              </w:rPr>
              <w:t>Orte</w:t>
            </w:r>
            <w:proofErr w:type="spellEnd"/>
            <w:r w:rsidRPr="004249EC">
              <w:rPr>
                <w:rFonts w:ascii="HelveticaNeue-Condensed" w:hAnsi="HelveticaNeue-Condensed" w:cs="HelveticaNeue-Condensed"/>
                <w:b/>
              </w:rPr>
              <w:t xml:space="preserve"> sotterranea, la scheda illustrativa</w:t>
            </w:r>
            <w:r w:rsidRPr="004249EC">
              <w:rPr>
                <w:rFonts w:ascii="HelveticaNeue-Condensed" w:hAnsi="HelveticaNeue-Condensed" w:cs="HelveticaNeue-Condensed"/>
              </w:rPr>
              <w:t xml:space="preserve"> . Nel corso di lavori di consolidamento della rupe tufacea sulla quale sorge </w:t>
            </w:r>
            <w:proofErr w:type="spellStart"/>
            <w:r w:rsidRPr="004249EC">
              <w:rPr>
                <w:rFonts w:ascii="HelveticaNeue-Condensed" w:hAnsi="HelveticaNeue-Condensed" w:cs="HelveticaNeue-Condensed"/>
              </w:rPr>
              <w:t>Orte</w:t>
            </w:r>
            <w:proofErr w:type="spellEnd"/>
            <w:r w:rsidRPr="004249EC">
              <w:rPr>
                <w:rFonts w:ascii="HelveticaNeue-Condensed" w:hAnsi="HelveticaNeue-Condensed" w:cs="HelveticaNeue-Condensed"/>
              </w:rPr>
              <w:t xml:space="preserve"> realizzati nel corso del Novecento si è scoperta una fitta rete di cunicoli sotterranei, che attraversa grosso modo tutta la città. Si tratta per lo più di cunicoli scavati nella roccia e quindi a sezione ogivale o a tutto sesto, costituiti da un condotto principale dal quale si diramano molti condotti secondari. </w:t>
            </w: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r w:rsidRPr="004249EC">
              <w:rPr>
                <w:rFonts w:ascii="HelveticaNeue-Condensed" w:hAnsi="HelveticaNeue-Condensed" w:cs="HelveticaNeue-Condensed"/>
              </w:rPr>
              <w:t>Contestuali a questa rete e raggiungibili per mezzo di essa, sono tre cisterne ipogee, due di forma circolare e una di forma quadrata.</w:t>
            </w: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r w:rsidRPr="004249EC">
              <w:rPr>
                <w:rFonts w:ascii="HelveticaNeue-Condensed" w:hAnsi="HelveticaNeue-Condensed" w:cs="HelveticaNeue-Condensed"/>
              </w:rPr>
              <w:t>Il sistema, che fa tornare alla memoria la rete idrica dei ‘bottini’ senesi, ha il suo punto più interessante in una via sotterranea che si diparte dalla Fontana Grande e che, percorrendo il fronte meridionale della  rupe e scendendo per una scala nascosta dalla vegetazione, conduce a uno splendido Ninfeo rinascimentale.</w:t>
            </w:r>
          </w:p>
          <w:p w:rsidR="00DA4A63" w:rsidRPr="004249EC" w:rsidRDefault="00DA4A63" w:rsidP="00DA4A63">
            <w:pPr>
              <w:autoSpaceDE w:val="0"/>
              <w:autoSpaceDN w:val="0"/>
              <w:adjustRightInd w:val="0"/>
              <w:spacing w:after="0" w:line="240" w:lineRule="auto"/>
              <w:jc w:val="both"/>
              <w:rPr>
                <w:rFonts w:ascii="HelveticaNeue-Condensed" w:hAnsi="HelveticaNeue-Condensed" w:cs="HelveticaNeue-Condensed"/>
              </w:rPr>
            </w:pPr>
          </w:p>
          <w:p w:rsidR="00DA4A63" w:rsidRDefault="00DA4A63" w:rsidP="00DA4A63">
            <w:pPr>
              <w:autoSpaceDE w:val="0"/>
              <w:autoSpaceDN w:val="0"/>
              <w:adjustRightInd w:val="0"/>
              <w:spacing w:after="0" w:line="240" w:lineRule="auto"/>
              <w:jc w:val="both"/>
              <w:rPr>
                <w:rFonts w:ascii="HelveticaNeue-Condensed" w:hAnsi="HelveticaNeue-Condensed" w:cs="HelveticaNeue-Condensed"/>
                <w:sz w:val="32"/>
                <w:szCs w:val="32"/>
              </w:rPr>
            </w:pPr>
          </w:p>
          <w:p w:rsidR="006815A9" w:rsidRDefault="006815A9" w:rsidP="00352BCF">
            <w:pPr>
              <w:spacing w:before="100" w:beforeAutospacing="1" w:after="100" w:afterAutospacing="1"/>
              <w:jc w:val="both"/>
              <w:rPr>
                <w:rFonts w:ascii="Verdana" w:hAnsi="Verdana"/>
              </w:rPr>
            </w:pPr>
          </w:p>
          <w:p w:rsidR="00585CF6" w:rsidRDefault="006815A9" w:rsidP="00352BCF">
            <w:pPr>
              <w:spacing w:before="100" w:beforeAutospacing="1" w:after="100" w:afterAutospacing="1"/>
              <w:jc w:val="both"/>
              <w:rPr>
                <w:rFonts w:ascii="Verdana" w:hAnsi="Verdana"/>
              </w:rPr>
            </w:pPr>
            <w:r>
              <w:rPr>
                <w:rFonts w:ascii="Verdana" w:hAnsi="Verdana"/>
              </w:rPr>
              <w:t xml:space="preserve"> </w:t>
            </w:r>
            <w:r w:rsidR="00585CF6">
              <w:rPr>
                <w:rFonts w:ascii="Verdana" w:hAnsi="Verdana"/>
              </w:rPr>
              <w:t xml:space="preserve">    </w:t>
            </w:r>
          </w:p>
          <w:p w:rsidR="00CA4999" w:rsidRPr="00052977" w:rsidRDefault="00CA4999" w:rsidP="00352BCF">
            <w:pPr>
              <w:jc w:val="both"/>
              <w:rPr>
                <w:rFonts w:ascii="Verdana" w:hAnsi="Verdana"/>
              </w:rPr>
            </w:pPr>
          </w:p>
          <w:p w:rsidR="00CA4999" w:rsidRPr="00A75290" w:rsidRDefault="00CA4999" w:rsidP="00352BCF">
            <w:pPr>
              <w:spacing w:before="100" w:beforeAutospacing="1" w:after="100" w:afterAutospacing="1"/>
              <w:rPr>
                <w:rFonts w:ascii="Verdana" w:hAnsi="Verdana"/>
                <w:sz w:val="16"/>
                <w:szCs w:val="16"/>
              </w:rPr>
            </w:pPr>
          </w:p>
        </w:tc>
      </w:tr>
    </w:tbl>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p w:rsidR="00CA4999" w:rsidRDefault="00CA4999" w:rsidP="00306FD8">
      <w:pPr>
        <w:autoSpaceDE w:val="0"/>
        <w:autoSpaceDN w:val="0"/>
        <w:adjustRightInd w:val="0"/>
        <w:spacing w:after="0" w:line="240" w:lineRule="auto"/>
        <w:jc w:val="both"/>
        <w:rPr>
          <w:rFonts w:ascii="HelveticaNeue-Condensed" w:hAnsi="HelveticaNeue-Condensed" w:cs="HelveticaNeue-Condensed"/>
          <w:sz w:val="32"/>
          <w:szCs w:val="32"/>
        </w:rPr>
      </w:pPr>
    </w:p>
    <w:p w:rsidR="00CA4999" w:rsidRPr="00306FD8" w:rsidRDefault="00CA4999" w:rsidP="00306FD8">
      <w:pPr>
        <w:autoSpaceDE w:val="0"/>
        <w:autoSpaceDN w:val="0"/>
        <w:adjustRightInd w:val="0"/>
        <w:spacing w:after="0" w:line="240" w:lineRule="auto"/>
        <w:jc w:val="both"/>
        <w:rPr>
          <w:sz w:val="32"/>
          <w:szCs w:val="32"/>
        </w:rPr>
      </w:pPr>
    </w:p>
    <w:sectPr w:rsidR="00CA4999" w:rsidRPr="00306FD8" w:rsidSect="00477A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Condensed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Neue-Condense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06FD8"/>
    <w:rsid w:val="000432D9"/>
    <w:rsid w:val="000C6203"/>
    <w:rsid w:val="000F6F2A"/>
    <w:rsid w:val="00103248"/>
    <w:rsid w:val="001466C0"/>
    <w:rsid w:val="00211C09"/>
    <w:rsid w:val="00306FD8"/>
    <w:rsid w:val="00352BCF"/>
    <w:rsid w:val="003F438B"/>
    <w:rsid w:val="004249EC"/>
    <w:rsid w:val="00477AC4"/>
    <w:rsid w:val="00560813"/>
    <w:rsid w:val="00565141"/>
    <w:rsid w:val="0057345D"/>
    <w:rsid w:val="00585CF6"/>
    <w:rsid w:val="00644268"/>
    <w:rsid w:val="006815A9"/>
    <w:rsid w:val="006D7404"/>
    <w:rsid w:val="007E7D66"/>
    <w:rsid w:val="008E3E5E"/>
    <w:rsid w:val="009E2C7A"/>
    <w:rsid w:val="00AC46B7"/>
    <w:rsid w:val="00AF2A84"/>
    <w:rsid w:val="00BD1E4B"/>
    <w:rsid w:val="00C3342B"/>
    <w:rsid w:val="00C922E6"/>
    <w:rsid w:val="00CA4999"/>
    <w:rsid w:val="00CB3A70"/>
    <w:rsid w:val="00DA4A63"/>
    <w:rsid w:val="00DC7272"/>
    <w:rsid w:val="00E65FF4"/>
    <w:rsid w:val="00E87B5C"/>
    <w:rsid w:val="00EA6C0F"/>
    <w:rsid w:val="00F44E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AC4"/>
  </w:style>
  <w:style w:type="paragraph" w:styleId="Titolo1">
    <w:name w:val="heading 1"/>
    <w:basedOn w:val="Normale"/>
    <w:link w:val="Titolo1Carattere"/>
    <w:uiPriority w:val="9"/>
    <w:qFormat/>
    <w:rsid w:val="00C9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C922E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22E6"/>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C922E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922E6"/>
    <w:rPr>
      <w:color w:val="0000FF"/>
      <w:u w:val="single"/>
    </w:rPr>
  </w:style>
  <w:style w:type="paragraph" w:styleId="Testofumetto">
    <w:name w:val="Balloon Text"/>
    <w:basedOn w:val="Normale"/>
    <w:link w:val="TestofumettoCarattere"/>
    <w:uiPriority w:val="99"/>
    <w:semiHidden/>
    <w:unhideWhenUsed/>
    <w:rsid w:val="00C9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22E6"/>
    <w:rPr>
      <w:rFonts w:ascii="Tahoma" w:hAnsi="Tahoma" w:cs="Tahoma"/>
      <w:sz w:val="16"/>
      <w:szCs w:val="16"/>
    </w:rPr>
  </w:style>
  <w:style w:type="paragraph" w:customStyle="1" w:styleId="gititle1">
    <w:name w:val="gititle1"/>
    <w:basedOn w:val="Normale"/>
    <w:rsid w:val="00565141"/>
    <w:pPr>
      <w:spacing w:before="144" w:after="144" w:line="240" w:lineRule="auto"/>
    </w:pPr>
    <w:rPr>
      <w:rFonts w:ascii="Times New Roman" w:eastAsia="Times New Roman" w:hAnsi="Times New Roman" w:cs="Times New Roman"/>
      <w:b/>
      <w:bCs/>
      <w:sz w:val="31"/>
      <w:szCs w:val="31"/>
      <w:lang w:eastAsia="it-IT"/>
    </w:rPr>
  </w:style>
  <w:style w:type="paragraph" w:customStyle="1" w:styleId="gidescription1">
    <w:name w:val="gidescription1"/>
    <w:basedOn w:val="Normale"/>
    <w:rsid w:val="00565141"/>
    <w:pPr>
      <w:spacing w:before="144" w:after="144" w:line="336" w:lineRule="atLeast"/>
    </w:pPr>
    <w:rPr>
      <w:rFonts w:ascii="Times New Roman" w:eastAsia="Times New Roman" w:hAnsi="Times New Roman" w:cs="Times New Roman"/>
      <w:sz w:val="26"/>
      <w:szCs w:val="26"/>
      <w:lang w:eastAsia="it-IT"/>
    </w:rPr>
  </w:style>
</w:styles>
</file>

<file path=word/webSettings.xml><?xml version="1.0" encoding="utf-8"?>
<w:webSettings xmlns:r="http://schemas.openxmlformats.org/officeDocument/2006/relationships" xmlns:w="http://schemas.openxmlformats.org/wordprocessingml/2006/main">
  <w:divs>
    <w:div w:id="653341044">
      <w:bodyDiv w:val="1"/>
      <w:marLeft w:val="0"/>
      <w:marRight w:val="0"/>
      <w:marTop w:val="0"/>
      <w:marBottom w:val="0"/>
      <w:divBdr>
        <w:top w:val="none" w:sz="0" w:space="0" w:color="auto"/>
        <w:left w:val="none" w:sz="0" w:space="0" w:color="auto"/>
        <w:bottom w:val="none" w:sz="0" w:space="0" w:color="auto"/>
        <w:right w:val="none" w:sz="0" w:space="0" w:color="auto"/>
      </w:divBdr>
      <w:divsChild>
        <w:div w:id="920336185">
          <w:marLeft w:val="0"/>
          <w:marRight w:val="0"/>
          <w:marTop w:val="0"/>
          <w:marBottom w:val="0"/>
          <w:divBdr>
            <w:top w:val="none" w:sz="0" w:space="0" w:color="auto"/>
            <w:left w:val="none" w:sz="0" w:space="0" w:color="auto"/>
            <w:bottom w:val="none" w:sz="0" w:space="0" w:color="auto"/>
            <w:right w:val="none" w:sz="0" w:space="0" w:color="auto"/>
          </w:divBdr>
          <w:divsChild>
            <w:div w:id="2124491947">
              <w:marLeft w:val="0"/>
              <w:marRight w:val="0"/>
              <w:marTop w:val="0"/>
              <w:marBottom w:val="0"/>
              <w:divBdr>
                <w:top w:val="none" w:sz="0" w:space="0" w:color="auto"/>
                <w:left w:val="none" w:sz="0" w:space="0" w:color="auto"/>
                <w:bottom w:val="none" w:sz="0" w:space="0" w:color="auto"/>
                <w:right w:val="none" w:sz="0" w:space="0" w:color="auto"/>
              </w:divBdr>
              <w:divsChild>
                <w:div w:id="1993173429">
                  <w:marLeft w:val="0"/>
                  <w:marRight w:val="0"/>
                  <w:marTop w:val="0"/>
                  <w:marBottom w:val="0"/>
                  <w:divBdr>
                    <w:top w:val="none" w:sz="0" w:space="0" w:color="auto"/>
                    <w:left w:val="none" w:sz="0" w:space="0" w:color="auto"/>
                    <w:bottom w:val="none" w:sz="0" w:space="0" w:color="auto"/>
                    <w:right w:val="none" w:sz="0" w:space="0" w:color="auto"/>
                  </w:divBdr>
                </w:div>
                <w:div w:id="1522161183">
                  <w:marLeft w:val="0"/>
                  <w:marRight w:val="0"/>
                  <w:marTop w:val="0"/>
                  <w:marBottom w:val="0"/>
                  <w:divBdr>
                    <w:top w:val="none" w:sz="0" w:space="0" w:color="auto"/>
                    <w:left w:val="none" w:sz="0" w:space="0" w:color="auto"/>
                    <w:bottom w:val="none" w:sz="0" w:space="0" w:color="auto"/>
                    <w:right w:val="none" w:sz="0" w:space="0" w:color="auto"/>
                  </w:divBdr>
                  <w:divsChild>
                    <w:div w:id="1514881615">
                      <w:marLeft w:val="0"/>
                      <w:marRight w:val="0"/>
                      <w:marTop w:val="0"/>
                      <w:marBottom w:val="0"/>
                      <w:divBdr>
                        <w:top w:val="none" w:sz="0" w:space="0" w:color="auto"/>
                        <w:left w:val="none" w:sz="0" w:space="0" w:color="auto"/>
                        <w:bottom w:val="none" w:sz="0" w:space="0" w:color="auto"/>
                        <w:right w:val="none" w:sz="0" w:space="0" w:color="auto"/>
                      </w:divBdr>
                      <w:divsChild>
                        <w:div w:id="825056074">
                          <w:marLeft w:val="0"/>
                          <w:marRight w:val="0"/>
                          <w:marTop w:val="0"/>
                          <w:marBottom w:val="0"/>
                          <w:divBdr>
                            <w:top w:val="none" w:sz="0" w:space="0" w:color="auto"/>
                            <w:left w:val="none" w:sz="0" w:space="0" w:color="auto"/>
                            <w:bottom w:val="none" w:sz="0" w:space="0" w:color="auto"/>
                            <w:right w:val="none" w:sz="0" w:space="0" w:color="auto"/>
                          </w:divBdr>
                          <w:divsChild>
                            <w:div w:id="1530069587">
                              <w:marLeft w:val="0"/>
                              <w:marRight w:val="0"/>
                              <w:marTop w:val="0"/>
                              <w:marBottom w:val="0"/>
                              <w:divBdr>
                                <w:top w:val="none" w:sz="0" w:space="0" w:color="auto"/>
                                <w:left w:val="none" w:sz="0" w:space="0" w:color="auto"/>
                                <w:bottom w:val="none" w:sz="0" w:space="0" w:color="auto"/>
                                <w:right w:val="none" w:sz="0" w:space="0" w:color="auto"/>
                              </w:divBdr>
                              <w:divsChild>
                                <w:div w:id="2060473582">
                                  <w:marLeft w:val="0"/>
                                  <w:marRight w:val="0"/>
                                  <w:marTop w:val="0"/>
                                  <w:marBottom w:val="0"/>
                                  <w:divBdr>
                                    <w:top w:val="none" w:sz="0" w:space="0" w:color="auto"/>
                                    <w:left w:val="none" w:sz="0" w:space="0" w:color="auto"/>
                                    <w:bottom w:val="none" w:sz="0" w:space="0" w:color="auto"/>
                                    <w:right w:val="none" w:sz="0" w:space="0" w:color="auto"/>
                                  </w:divBdr>
                                  <w:divsChild>
                                    <w:div w:id="20563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975025">
      <w:bodyDiv w:val="1"/>
      <w:marLeft w:val="30"/>
      <w:marRight w:val="30"/>
      <w:marTop w:val="30"/>
      <w:marBottom w:val="30"/>
      <w:divBdr>
        <w:top w:val="none" w:sz="0" w:space="0" w:color="auto"/>
        <w:left w:val="none" w:sz="0" w:space="0" w:color="auto"/>
        <w:bottom w:val="none" w:sz="0" w:space="0" w:color="auto"/>
        <w:right w:val="none" w:sz="0" w:space="0" w:color="auto"/>
      </w:divBdr>
      <w:divsChild>
        <w:div w:id="902637249">
          <w:marLeft w:val="30"/>
          <w:marRight w:val="0"/>
          <w:marTop w:val="0"/>
          <w:marBottom w:val="0"/>
          <w:divBdr>
            <w:top w:val="none" w:sz="0" w:space="0" w:color="auto"/>
            <w:left w:val="none" w:sz="0" w:space="0" w:color="auto"/>
            <w:bottom w:val="none" w:sz="0" w:space="0" w:color="auto"/>
            <w:right w:val="none" w:sz="0" w:space="0" w:color="auto"/>
          </w:divBdr>
          <w:divsChild>
            <w:div w:id="1793210013">
              <w:marLeft w:val="0"/>
              <w:marRight w:val="0"/>
              <w:marTop w:val="0"/>
              <w:marBottom w:val="0"/>
              <w:divBdr>
                <w:top w:val="none" w:sz="0" w:space="0" w:color="auto"/>
                <w:left w:val="none" w:sz="0" w:space="0" w:color="auto"/>
                <w:bottom w:val="none" w:sz="0" w:space="0" w:color="auto"/>
                <w:right w:val="none" w:sz="0" w:space="0" w:color="auto"/>
              </w:divBdr>
              <w:divsChild>
                <w:div w:id="334724217">
                  <w:marLeft w:val="0"/>
                  <w:marRight w:val="0"/>
                  <w:marTop w:val="0"/>
                  <w:marBottom w:val="0"/>
                  <w:divBdr>
                    <w:top w:val="none" w:sz="0" w:space="0" w:color="auto"/>
                    <w:left w:val="none" w:sz="0" w:space="0" w:color="auto"/>
                    <w:bottom w:val="none" w:sz="0" w:space="0" w:color="auto"/>
                    <w:right w:val="none" w:sz="0" w:space="0" w:color="auto"/>
                  </w:divBdr>
                  <w:divsChild>
                    <w:div w:id="1568762838">
                      <w:marLeft w:val="0"/>
                      <w:marRight w:val="0"/>
                      <w:marTop w:val="0"/>
                      <w:marBottom w:val="0"/>
                      <w:divBdr>
                        <w:top w:val="single" w:sz="2" w:space="0" w:color="CCCCCC"/>
                        <w:left w:val="single" w:sz="2" w:space="0" w:color="CCCCCC"/>
                        <w:bottom w:val="single" w:sz="2" w:space="0" w:color="CCCCCC"/>
                        <w:right w:val="single" w:sz="2" w:space="0" w:color="CCCCCC"/>
                      </w:divBdr>
                      <w:divsChild>
                        <w:div w:id="558519394">
                          <w:marLeft w:val="0"/>
                          <w:marRight w:val="0"/>
                          <w:marTop w:val="0"/>
                          <w:marBottom w:val="0"/>
                          <w:divBdr>
                            <w:top w:val="none" w:sz="0" w:space="8" w:color="auto"/>
                            <w:left w:val="none" w:sz="0" w:space="8" w:color="auto"/>
                            <w:bottom w:val="none" w:sz="0" w:space="8" w:color="auto"/>
                            <w:right w:val="none" w:sz="0" w:space="8" w:color="auto"/>
                          </w:divBdr>
                          <w:divsChild>
                            <w:div w:id="635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te.comuni-italiani.it/foto/2008/autore/luca-riccardi/"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orte.vt.it/component/option,com_gallery2/Itemid,180/?g2_itemId=8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rete.comuni-italiani.it/foto/2008/5211/view"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2012-02-08T15:17:00Z</dcterms:created>
  <dcterms:modified xsi:type="dcterms:W3CDTF">2012-02-08T15:24:00Z</dcterms:modified>
</cp:coreProperties>
</file>